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07" w:rsidRPr="005C3307" w:rsidRDefault="005C3307" w:rsidP="005C3307">
      <w:pPr>
        <w:widowControl w:val="0"/>
        <w:tabs>
          <w:tab w:val="left" w:pos="425"/>
        </w:tabs>
        <w:spacing w:line="25" w:lineRule="atLeast"/>
        <w:jc w:val="center"/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</w:pPr>
      <w:r w:rsidRPr="005C3307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>Penjelas</w:t>
      </w:r>
      <w:bookmarkStart w:id="0" w:name="_GoBack"/>
      <w:bookmarkEnd w:id="0"/>
      <w:r w:rsidRPr="005C3307">
        <w:rPr>
          <w:rFonts w:ascii="Cambria" w:eastAsia="SimSun" w:hAnsi="Cambria" w:cs="Times New Roman"/>
          <w:b/>
          <w:kern w:val="2"/>
          <w:sz w:val="28"/>
          <w:szCs w:val="24"/>
          <w:lang w:eastAsia="zh-CN"/>
        </w:rPr>
        <w:t xml:space="preserve">an dan Contoh Sistem Sitasi Chicgo Manual of Style </w:t>
      </w:r>
      <w:r w:rsidRPr="005C3307">
        <w:rPr>
          <w:rFonts w:ascii="Cambria" w:eastAsia="SimSun" w:hAnsi="Cambria" w:cs="Times New Roman"/>
          <w:b/>
          <w:i/>
          <w:iCs/>
          <w:kern w:val="2"/>
          <w:sz w:val="28"/>
          <w:szCs w:val="24"/>
          <w:lang w:val="en-US" w:eastAsia="zh-CN"/>
        </w:rPr>
        <w:t>16</w:t>
      </w:r>
      <w:r w:rsidRPr="005C3307">
        <w:rPr>
          <w:rFonts w:ascii="Cambria" w:eastAsia="SimSun" w:hAnsi="Cambria" w:cs="Times New Roman"/>
          <w:b/>
          <w:i/>
          <w:iCs/>
          <w:kern w:val="2"/>
          <w:sz w:val="28"/>
          <w:szCs w:val="24"/>
          <w:vertAlign w:val="superscript"/>
          <w:lang w:val="en-US" w:eastAsia="zh-CN"/>
        </w:rPr>
        <w:t xml:space="preserve">th </w:t>
      </w:r>
      <w:r w:rsidRPr="005C3307">
        <w:rPr>
          <w:rFonts w:ascii="Cambria" w:eastAsia="SimSun" w:hAnsi="Cambria" w:cs="Times New Roman"/>
          <w:b/>
          <w:i/>
          <w:iCs/>
          <w:kern w:val="2"/>
          <w:sz w:val="28"/>
          <w:szCs w:val="24"/>
          <w:lang w:val="en-US" w:eastAsia="zh-CN"/>
        </w:rPr>
        <w:t>E</w:t>
      </w:r>
      <w:r w:rsidRPr="005C3307">
        <w:rPr>
          <w:rFonts w:ascii="Cambria" w:eastAsia="SimSun" w:hAnsi="Cambria" w:cs="Times New Roman"/>
          <w:b/>
          <w:i/>
          <w:iCs/>
          <w:kern w:val="2"/>
          <w:sz w:val="28"/>
          <w:szCs w:val="24"/>
          <w:lang w:val="en-US" w:eastAsia="zh-CN"/>
        </w:rPr>
        <w:t>dition</w:t>
      </w:r>
    </w:p>
    <w:p w:rsidR="005C3307" w:rsidRPr="005C3307" w:rsidRDefault="005C3307" w:rsidP="005C3307">
      <w:pPr>
        <w:widowControl w:val="0"/>
        <w:tabs>
          <w:tab w:val="left" w:pos="425"/>
        </w:tabs>
        <w:spacing w:line="25" w:lineRule="atLeast"/>
        <w:jc w:val="both"/>
        <w:rPr>
          <w:rFonts w:ascii="Calibri" w:eastAsia="SimSun" w:hAnsi="Calibri" w:cs="Times New Roman"/>
          <w:kern w:val="2"/>
          <w:sz w:val="21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tabs>
          <w:tab w:val="left" w:pos="425"/>
        </w:tabs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kaki/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footnote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sistem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sitasi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Chicago Manual of Style 16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vertAlign w:val="superscript"/>
          <w:lang w:val="en-US" w:eastAsia="zh-CN"/>
        </w:rPr>
        <w:t xml:space="preserve">th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edition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Berikut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beberapa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aturan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umum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contoh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CMS: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1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secara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berurutan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dimulai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pangkat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gelar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miring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cetakan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edition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jilid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series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),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tempat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kota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1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Semua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diberi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secara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urut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penomoran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angka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superscipt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Ukuran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font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9pts</w:t>
      </w:r>
      <w:r w:rsidRPr="005C3307">
        <w:rPr>
          <w:rFonts w:ascii="Calibri" w:eastAsia="SimSun" w:hAnsi="Calibri" w:cs="Times New Roman"/>
          <w:kern w:val="2"/>
          <w:sz w:val="13"/>
          <w:szCs w:val="11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secara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berurutan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Nama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belakangnya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dahulu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diikuti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tengah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pangkat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gelar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 miring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Cetakan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Edition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Jilid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Series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Kota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Nama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setiap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apabila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terdiri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dua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baris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maka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baris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kedua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berikutnya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dibuat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menjorok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kedalam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kota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t.k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.”;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t.p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.”;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terbit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“t.t.”.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Apabila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berupa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hijriah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“H.”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setelah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penyebutan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kumpulan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suntingan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surat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kabar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sejenisnya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puisi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lagu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cerita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pendek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sejenisnya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“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”.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Sedangkan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atau</w:t>
      </w:r>
      <w:proofErr w:type="spellEnd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b/>
          <w:bCs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album, film,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surat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kabar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sejenisnya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miring </w:t>
      </w:r>
      <w:proofErr w:type="spellStart"/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ingin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menyebutkan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lagi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sumber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terdahulu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setelah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diselingi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sitasi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sumber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lain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harus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disebutkan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belakang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diikuti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memendekkan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judul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cukup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dua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-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tiga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kata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awal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diikuti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dirujuk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lalu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titik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Tidak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lagi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digunakan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istilah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Op.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cit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Loc. cit.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Contoh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>3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Douehi, Digital Cultures, 33.</w:t>
      </w:r>
    </w:p>
    <w:p w:rsidR="005C3307" w:rsidRPr="005C3307" w:rsidRDefault="005C3307" w:rsidP="005C3307">
      <w:pPr>
        <w:widowControl w:val="0"/>
        <w:numPr>
          <w:ilvl w:val="1"/>
          <w:numId w:val="1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Jika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pengulangan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sitasi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diselingi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sumber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lain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maka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dapat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menggunakan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ibid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diikuti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dirujuk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lalu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tanda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titik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Contoh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>4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Ibid, 40.</w:t>
      </w:r>
    </w:p>
    <w:p w:rsidR="005C3307" w:rsidRPr="005C3307" w:rsidRDefault="005C3307" w:rsidP="005C3307">
      <w:pPr>
        <w:widowControl w:val="0"/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Beberapa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contoh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(CK)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(B)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CMS:</w:t>
      </w:r>
    </w:p>
    <w:p w:rsidR="005C3307" w:rsidRPr="005C3307" w:rsidRDefault="005C3307" w:rsidP="005C3307">
      <w:pPr>
        <w:widowControl w:val="0"/>
        <w:numPr>
          <w:ilvl w:val="0"/>
          <w:numId w:val="2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1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1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Milad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Douehi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Digital Cultures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(Cambridge: Harvard University Press, 2011), 33.</w:t>
      </w:r>
    </w:p>
    <w:p w:rsidR="005C3307" w:rsidRPr="005C3307" w:rsidRDefault="005C3307" w:rsidP="005C3307">
      <w:pPr>
        <w:widowControl w:val="0"/>
        <w:spacing w:line="25" w:lineRule="atLeast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Douhei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Milad.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Digital Cultures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Cambridge: Harvard University Press,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2011.</w:t>
      </w:r>
    </w:p>
    <w:p w:rsidR="005C3307" w:rsidRPr="005C3307" w:rsidRDefault="005C3307" w:rsidP="005C3307">
      <w:pPr>
        <w:widowControl w:val="0"/>
        <w:spacing w:line="25" w:lineRule="atLeast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2 - 3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lastRenderedPageBreak/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2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Craig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Baehr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and Bob Schaller,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 xml:space="preserve">Writing for the Internet: A Guide to </w:t>
      </w:r>
      <w:proofErr w:type="gramStart"/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Real  Communication</w:t>
      </w:r>
      <w:proofErr w:type="gramEnd"/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 xml:space="preserve"> in Virtual Space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(Santa Barbara: Greenwood Press, 2010), 38-40.</w:t>
      </w:r>
    </w:p>
    <w:p w:rsidR="005C3307" w:rsidRPr="005C3307" w:rsidRDefault="005C3307" w:rsidP="005C3307">
      <w:pPr>
        <w:widowControl w:val="0"/>
        <w:spacing w:line="25" w:lineRule="atLeast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Baehr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Craig, and Bob Schaller. Writing for the Internet: A Guide to </w:t>
      </w:r>
      <w:proofErr w:type="gram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Real 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proofErr w:type="gram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Communication in Virtual Space. Santa Barbara: Greenwood Press,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2010.</w:t>
      </w:r>
    </w:p>
    <w:p w:rsidR="005C3307" w:rsidRPr="005C3307" w:rsidRDefault="005C3307" w:rsidP="005C3307">
      <w:pPr>
        <w:widowControl w:val="0"/>
        <w:spacing w:line="25" w:lineRule="atLeast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4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3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Lester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Faigley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et al.,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Picturing Texts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(New York: W.W. Norton, 2004), 45.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Faigley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Lester, Diana George, Anna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Palchik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and Cynthia Selfie.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Picturing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ab/>
        <w:t>Texts.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New York: W.W. Norton, 2004.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untuk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4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dicantumkan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hanya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pertama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semua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dicantumkan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editor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4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Benjamin Franklin,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The Autobiography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, Ed. Kenneth Silverman (New York: Penguin, 1986), 41-45.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Franklin, Benjamin.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The Autobiography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Edited by Kenneth Silverman.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New York: Penguin, 1986.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penerjemah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4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Julio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Cortázar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Hopscotch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trans. Gregory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Rabassa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(New York: Pantheon Books,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1966), 165.</w:t>
      </w:r>
    </w:p>
    <w:p w:rsidR="005C3307" w:rsidRPr="005C3307" w:rsidRDefault="005C3307" w:rsidP="005C3307">
      <w:pPr>
        <w:widowControl w:val="0"/>
        <w:spacing w:line="25" w:lineRule="atLeast"/>
        <w:ind w:left="420" w:firstLine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Cortázar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Julio.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Hopscotch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Translated by Gregory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Rabassa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New York: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Pantheon Books, 1966.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kata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pengantar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sambutan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pendahuluan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bab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atau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sub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bab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kumpulan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buku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suntingan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spacing w:line="25" w:lineRule="atLeast"/>
        <w:ind w:leftChars="400" w:left="88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Cs w:val="24"/>
          <w:vertAlign w:val="superscript"/>
          <w:lang w:val="en-US" w:eastAsia="zh-CN"/>
        </w:rPr>
        <w:t xml:space="preserve">5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Shelley Cobb, “More Than Baby Mamas: Black Mothers and Hip-Hop Feminism,”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Gender, Race, and Class in Media: A Critical Reader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Ed. Gail Dines dan Jean M.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Humez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edisi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ke-3 (Thousand Oaks, CA: SAGE Publications, 2011), 140.</w:t>
      </w:r>
    </w:p>
    <w:p w:rsidR="005C3307" w:rsidRPr="005C3307" w:rsidRDefault="005C3307" w:rsidP="005C3307">
      <w:pPr>
        <w:widowControl w:val="0"/>
        <w:spacing w:line="25" w:lineRule="atLeast"/>
        <w:ind w:leftChars="400" w:left="88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Cobb, Shelley. “More Than Baby Mamas: Black Mothers and Hip-Hop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Feminism.”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Gender, Race, and Class in Media: A Critical Reader.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Edited by Gail Dines dan Jean M.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Humez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Edisi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ke-3. Thousand Oaks,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CA: SAGE Publications. 2011.</w:t>
      </w:r>
    </w:p>
    <w:p w:rsidR="005C3307" w:rsidRPr="005C3307" w:rsidRDefault="005C3307" w:rsidP="005C3307">
      <w:pPr>
        <w:widowControl w:val="0"/>
        <w:spacing w:line="25" w:lineRule="atLeast"/>
        <w:ind w:leftChars="400" w:left="88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1"/>
          <w:numId w:val="3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Apabila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bentuk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e-book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catatan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kaki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setelah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dicantumkan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URL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alamat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web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diacu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sedangkan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bibliografi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setelah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e-book.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2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lastRenderedPageBreak/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penerbitan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Majalah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Disertasi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Tesis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numPr>
          <w:ilvl w:val="0"/>
          <w:numId w:val="4"/>
        </w:numPr>
        <w:spacing w:line="25" w:lineRule="atLeast"/>
        <w:ind w:left="845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jurnal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dengan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lebih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tiga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pengarang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6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Mary Kate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Donais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et al., “Analyzing Lead Content in Ancient Bronze Coins by Flame Atomic Absorption Spectroscopy: An Archaeometry Laboratory with Nonscience Majors,”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Journal of Chemical Education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86, no. 3 (2009): 345.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Donais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Mary Kate, Greg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Whissel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Ashley Dumas, and Kathleen Golden.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“Analyzing Lead Content in Ancient Bronze Coins by Flame Atomic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Absorption Spectroscopy: An Archaeometry Laboratory with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Nonscience Majors,”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Journal of Chemical Education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86, no. 3 (2009):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343-346.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4"/>
        </w:numPr>
        <w:spacing w:line="25" w:lineRule="atLeast"/>
        <w:ind w:left="840" w:hanging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Apabila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bentuk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E-Journal,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ditambahkan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DOI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setelah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nomor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4"/>
        </w:numPr>
        <w:spacing w:line="25" w:lineRule="atLeast"/>
        <w:ind w:left="840" w:hanging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Majalah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&amp; Surat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Kabar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artikel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dalam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majalah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surat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kabar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5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Lawrence Schiller, “A Splash of Marylin,”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Vanity Fair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(June 2012): 103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Schiller, Lawrence. “A Splash of Marylin.”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 xml:space="preserve">Vanity Fair.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June 2012.</w:t>
      </w:r>
    </w:p>
    <w:p w:rsidR="005C3307" w:rsidRPr="005C3307" w:rsidRDefault="005C3307" w:rsidP="005C3307">
      <w:pPr>
        <w:widowControl w:val="0"/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4"/>
        </w:numPr>
        <w:spacing w:line="25" w:lineRule="atLeast"/>
        <w:ind w:left="840" w:hanging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Disertasi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Thesis.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1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Richard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Rorty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“Sidney </w:t>
      </w:r>
      <w:proofErr w:type="gram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Hook‘</w:t>
      </w:r>
      <w:proofErr w:type="gram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s Populism,” (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Disertasi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Program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Pascasarjana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, University of Virginia, 1980), 88-91.</w:t>
      </w:r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Rorty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Richard. “Sidney </w:t>
      </w:r>
      <w:proofErr w:type="gram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Hook‘</w:t>
      </w:r>
      <w:proofErr w:type="gram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s Populism.”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Disertasi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Program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Pascasarjana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University of Virginia, 1980.</w:t>
      </w:r>
    </w:p>
    <w:p w:rsidR="005C3307" w:rsidRPr="005C3307" w:rsidRDefault="005C3307" w:rsidP="005C3307">
      <w:pPr>
        <w:widowControl w:val="0"/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2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prosiding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konferensi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/seminar/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simposium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.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1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Kim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Zelazny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and Ed Gilmore, “Art for </w:t>
      </w:r>
      <w:proofErr w:type="gram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Art‘</w:t>
      </w:r>
      <w:proofErr w:type="gram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s Sake: Funding the NEA in the Twenty-First Century,” (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Prosiding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international The Annual Conference of Metropolitan Arts Councils, San Francisco, April 1993), 4-7, 9.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Zelazny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Kim, and Ed Gilmore. “Art for </w:t>
      </w:r>
      <w:proofErr w:type="gram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Art‘</w:t>
      </w:r>
      <w:proofErr w:type="gram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s Sake: Funding the NEA in the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Twenty-First Century.”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Prosiding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International </w:t>
      </w:r>
      <w:proofErr w:type="gram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The</w:t>
      </w:r>
      <w:proofErr w:type="gram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Annual Conference of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Metropolitan Arts Councils, San Francisco, April 1993.</w:t>
      </w:r>
    </w:p>
    <w:p w:rsidR="005C3307" w:rsidRPr="005C3307" w:rsidRDefault="005C3307" w:rsidP="005C3307">
      <w:pPr>
        <w:widowControl w:val="0"/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2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webpage</w:t>
      </w:r>
    </w:p>
    <w:p w:rsidR="005C3307" w:rsidRPr="005C3307" w:rsidRDefault="005C3307" w:rsidP="005C3307">
      <w:pPr>
        <w:widowControl w:val="0"/>
        <w:numPr>
          <w:ilvl w:val="0"/>
          <w:numId w:val="5"/>
        </w:numPr>
        <w:spacing w:line="25" w:lineRule="atLeast"/>
        <w:ind w:left="845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diketahui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tahunnya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1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Andrew Curry, "Mystery of Lost Roman City Solved: Ancients Greened the Desert?" </w:t>
      </w:r>
      <w:r w:rsidRPr="005C3307">
        <w:rPr>
          <w:rFonts w:ascii="Calibri" w:eastAsia="SimSun" w:hAnsi="Calibri" w:cs="Times New Roman"/>
          <w:i/>
          <w:iCs/>
          <w:kern w:val="2"/>
          <w:sz w:val="20"/>
          <w:szCs w:val="18"/>
          <w:lang w:val="en-US" w:eastAsia="zh-CN"/>
        </w:rPr>
        <w:t>National Geographic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,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diakses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18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Juli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2012, </w:t>
      </w:r>
      <w:hyperlink r:id="rId5" w:history="1">
        <w:r w:rsidRPr="005C3307">
          <w:rPr>
            <w:rFonts w:ascii="Calibri" w:eastAsia="SimSun" w:hAnsi="Calibri" w:cs="Times New Roman"/>
            <w:kern w:val="2"/>
            <w:sz w:val="20"/>
            <w:szCs w:val="18"/>
            <w:lang w:val="en-US" w:eastAsia="zh-CN"/>
          </w:rPr>
          <w:t>http://news.nationalgeographic.com/news/2012/07/120717-palmyra-roman-city-syria-science-farming-world-ancient/.</w:t>
        </w:r>
      </w:hyperlink>
    </w:p>
    <w:p w:rsidR="005C3307" w:rsidRPr="005C3307" w:rsidRDefault="005C3307" w:rsidP="005C3307">
      <w:pPr>
        <w:widowControl w:val="0"/>
        <w:tabs>
          <w:tab w:val="left" w:pos="1260"/>
          <w:tab w:val="left" w:pos="1680"/>
        </w:tabs>
        <w:spacing w:line="25" w:lineRule="atLeast"/>
        <w:ind w:left="840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Curry, Andrew. "Mystery of Lost Roman City Solved: Ancients Greened the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Desert?" </w:t>
      </w:r>
      <w:r w:rsidRPr="005C3307">
        <w:rPr>
          <w:rFonts w:ascii="Calibri" w:eastAsia="SimSun" w:hAnsi="Calibri" w:cs="Times New Roman"/>
          <w:i/>
          <w:iCs/>
          <w:kern w:val="2"/>
          <w:szCs w:val="24"/>
          <w:lang w:val="en-US" w:eastAsia="zh-CN"/>
        </w:rPr>
        <w:t>National Geographic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July 18, 2012.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lastRenderedPageBreak/>
        <w:tab/>
      </w:r>
      <w:hyperlink r:id="rId6" w:history="1">
        <w:r w:rsidRPr="005C3307">
          <w:rPr>
            <w:rFonts w:ascii="Calibri" w:eastAsia="SimSun" w:hAnsi="Calibri" w:cs="Times New Roman"/>
            <w:kern w:val="2"/>
            <w:szCs w:val="24"/>
            <w:lang w:val="en-US" w:eastAsia="zh-CN"/>
          </w:rPr>
          <w:t>http://news.nationalgeographic.com/news/2012/07/120717-palmyra-roman-</w:t>
        </w:r>
        <w:r w:rsidRPr="005C3307">
          <w:rPr>
            <w:rFonts w:ascii="Calibri" w:eastAsia="SimSun" w:hAnsi="Calibri" w:cs="Times New Roman"/>
            <w:kern w:val="2"/>
            <w:szCs w:val="24"/>
            <w:lang w:val="en-US" w:eastAsia="zh-CN"/>
          </w:rPr>
          <w:tab/>
        </w:r>
        <w:r w:rsidRPr="005C3307">
          <w:rPr>
            <w:rFonts w:ascii="Calibri" w:eastAsia="SimSun" w:hAnsi="Calibri" w:cs="Times New Roman"/>
            <w:kern w:val="2"/>
            <w:szCs w:val="24"/>
            <w:lang w:val="en-US" w:eastAsia="zh-CN"/>
          </w:rPr>
          <w:tab/>
          <w:t>city-</w:t>
        </w:r>
        <w:proofErr w:type="spellStart"/>
        <w:r w:rsidRPr="005C3307">
          <w:rPr>
            <w:rFonts w:ascii="Calibri" w:eastAsia="SimSun" w:hAnsi="Calibri" w:cs="Times New Roman"/>
            <w:kern w:val="2"/>
            <w:szCs w:val="24"/>
            <w:lang w:val="en-US" w:eastAsia="zh-CN"/>
          </w:rPr>
          <w:t>syria</w:t>
        </w:r>
        <w:proofErr w:type="spellEnd"/>
        <w:r w:rsidRPr="005C3307">
          <w:rPr>
            <w:rFonts w:ascii="Calibri" w:eastAsia="SimSun" w:hAnsi="Calibri" w:cs="Times New Roman"/>
            <w:kern w:val="2"/>
            <w:szCs w:val="24"/>
            <w:lang w:val="en-US" w:eastAsia="zh-CN"/>
          </w:rPr>
          <w:t>-science-farming-world-ancient/.</w:t>
        </w:r>
      </w:hyperlink>
    </w:p>
    <w:p w:rsidR="005C3307" w:rsidRPr="005C3307" w:rsidRDefault="005C3307" w:rsidP="005C3307">
      <w:pPr>
        <w:widowControl w:val="0"/>
        <w:spacing w:line="25" w:lineRule="atLeast"/>
        <w:ind w:left="84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5"/>
        </w:numPr>
        <w:spacing w:line="25" w:lineRule="atLeast"/>
        <w:ind w:left="840" w:hanging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halaman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yang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tidak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diketahui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nama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penulis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dan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tahunnya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840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CK: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8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“Illinois Governor Wants to 'Fumigate' State's Government,” CNN.com,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diakses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Januari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30, 2009, </w:t>
      </w:r>
      <w:hyperlink r:id="rId7" w:history="1">
        <w:r w:rsidRPr="005C3307">
          <w:rPr>
            <w:rFonts w:ascii="Calibri" w:eastAsia="SimSun" w:hAnsi="Calibri" w:cs="Times New Roman"/>
            <w:kern w:val="2"/>
            <w:sz w:val="20"/>
            <w:szCs w:val="18"/>
            <w:u w:val="single"/>
            <w:lang w:val="en-US" w:eastAsia="zh-CN"/>
          </w:rPr>
          <w:t>http://edition.cnn.com/2009/POLITICS/01/30/illinois.governor.quinn/.</w:t>
        </w:r>
      </w:hyperlink>
    </w:p>
    <w:p w:rsidR="005C3307" w:rsidRPr="005C3307" w:rsidRDefault="005C3307" w:rsidP="005C3307">
      <w:pPr>
        <w:widowControl w:val="0"/>
        <w:spacing w:line="25" w:lineRule="atLeast"/>
        <w:ind w:left="840"/>
        <w:rPr>
          <w:rFonts w:ascii="Calibri" w:eastAsia="SimSun" w:hAnsi="Calibri" w:cs="Times New Roman"/>
          <w:kern w:val="2"/>
          <w:szCs w:val="21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ab/>
        <w:t xml:space="preserve">: "Illinois Governor Wants to 'Fumigate' State's Government.” CNN.com. </w:t>
      </w:r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ab/>
      </w:r>
      <w:proofErr w:type="spellStart"/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>Januari</w:t>
      </w:r>
      <w:proofErr w:type="spellEnd"/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 xml:space="preserve"> 30, 2009. </w:t>
      </w:r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1"/>
          <w:lang w:val="en-US" w:eastAsia="zh-CN"/>
        </w:rPr>
        <w:tab/>
      </w:r>
      <w:hyperlink r:id="rId8" w:history="1">
        <w:r w:rsidRPr="005C3307">
          <w:rPr>
            <w:rFonts w:ascii="Calibri" w:eastAsia="SimSun" w:hAnsi="Calibri" w:cs="Times New Roman"/>
            <w:kern w:val="2"/>
            <w:szCs w:val="21"/>
            <w:u w:val="single"/>
            <w:lang w:val="en-US" w:eastAsia="zh-CN"/>
          </w:rPr>
          <w:t>http://edition.cnn.com/2009/POLITICS/01/30/illinois.governor.quinn/.</w:t>
        </w:r>
      </w:hyperlink>
    </w:p>
    <w:p w:rsidR="005C3307" w:rsidRPr="005C3307" w:rsidRDefault="005C3307" w:rsidP="005C3307">
      <w:pPr>
        <w:widowControl w:val="0"/>
        <w:spacing w:line="25" w:lineRule="atLeast"/>
        <w:ind w:left="840"/>
        <w:rPr>
          <w:rFonts w:ascii="Calibri" w:eastAsia="SimSun" w:hAnsi="Calibri" w:cs="Times New Roman"/>
          <w:kern w:val="2"/>
          <w:szCs w:val="21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2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Wawancara</w:t>
      </w:r>
      <w:proofErr w:type="spellEnd"/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 w:val="20"/>
          <w:szCs w:val="18"/>
          <w:vertAlign w:val="superscript"/>
          <w:lang w:val="en-US" w:eastAsia="zh-CN"/>
        </w:rPr>
        <w:t xml:space="preserve">20 </w:t>
      </w:r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Ali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Mastur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(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Pengurus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),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wawancara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oleh Candra,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Jamaah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Al-Khidmah Surabaya,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tanggal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22 </w:t>
      </w:r>
      <w:proofErr w:type="spellStart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>Agustus</w:t>
      </w:r>
      <w:proofErr w:type="spellEnd"/>
      <w:r w:rsidRPr="005C3307">
        <w:rPr>
          <w:rFonts w:ascii="Calibri" w:eastAsia="SimSun" w:hAnsi="Calibri" w:cs="Times New Roman"/>
          <w:kern w:val="2"/>
          <w:sz w:val="20"/>
          <w:szCs w:val="18"/>
          <w:lang w:val="en-US" w:eastAsia="zh-CN"/>
        </w:rPr>
        <w:t xml:space="preserve"> 2016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Mastur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, Ali (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Pengurus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).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Wawancara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oleh Candra.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Jamaah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Al-Khidmah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Surabaya.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Tanggal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22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Agustus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2016.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</w:p>
    <w:p w:rsidR="005C3307" w:rsidRPr="005C3307" w:rsidRDefault="005C3307" w:rsidP="005C3307">
      <w:pPr>
        <w:widowControl w:val="0"/>
        <w:numPr>
          <w:ilvl w:val="0"/>
          <w:numId w:val="2"/>
        </w:numPr>
        <w:spacing w:line="25" w:lineRule="atLeast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Kutipan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dari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sumber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video daring</w:t>
      </w:r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CK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 xml:space="preserve">: </w:t>
      </w:r>
      <w:r w:rsidRPr="005C3307">
        <w:rPr>
          <w:rFonts w:ascii="Calibri" w:eastAsia="SimSun" w:hAnsi="Calibri" w:cs="Times New Roman"/>
          <w:kern w:val="2"/>
          <w:szCs w:val="24"/>
          <w:vertAlign w:val="superscript"/>
          <w:lang w:val="en-US" w:eastAsia="zh-CN"/>
        </w:rPr>
        <w:t xml:space="preserve">7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“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Melawan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Korupsi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Demi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Kemakmuran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Bangsa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,” Video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Youtube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, 1:18:27,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dikirim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oleh “KH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Zainuddin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MZ,”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Oktober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23, 2018. </w:t>
      </w:r>
      <w:hyperlink r:id="rId9" w:history="1">
        <w:r w:rsidRPr="005C3307">
          <w:rPr>
            <w:rFonts w:ascii="Calibri" w:eastAsia="SimSun" w:hAnsi="Calibri" w:cs="Times New Roman"/>
            <w:kern w:val="2"/>
            <w:szCs w:val="24"/>
            <w:u w:val="single"/>
            <w:lang w:val="en-US" w:eastAsia="zh-CN"/>
          </w:rPr>
          <w:t>https://youtu.be/xiS2tWONdl4.</w:t>
        </w:r>
      </w:hyperlink>
    </w:p>
    <w:p w:rsidR="005C3307" w:rsidRPr="005C3307" w:rsidRDefault="005C3307" w:rsidP="005C3307">
      <w:pPr>
        <w:widowControl w:val="0"/>
        <w:spacing w:line="25" w:lineRule="atLeast"/>
        <w:ind w:left="420"/>
        <w:jc w:val="both"/>
        <w:rPr>
          <w:rFonts w:ascii="Calibri" w:eastAsia="SimSun" w:hAnsi="Calibri" w:cs="Times New Roman"/>
          <w:kern w:val="2"/>
          <w:szCs w:val="24"/>
          <w:lang w:val="en-US" w:eastAsia="zh-CN"/>
        </w:rPr>
      </w:pP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  <w:t>: “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Melawan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Korupsi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Demi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Kemakmuran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Bangsa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.” Video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Youtube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. 1:18:27.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Dikirim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oleh “KH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Zainuddin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MZ,” </w:t>
      </w:r>
      <w:proofErr w:type="spellStart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>Oktober</w:t>
      </w:r>
      <w:proofErr w:type="spellEnd"/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 xml:space="preserve"> 23, 2018. </w:t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r w:rsidRPr="005C3307">
        <w:rPr>
          <w:rFonts w:ascii="Calibri" w:eastAsia="SimSun" w:hAnsi="Calibri" w:cs="Times New Roman"/>
          <w:kern w:val="2"/>
          <w:szCs w:val="24"/>
          <w:lang w:val="en-US" w:eastAsia="zh-CN"/>
        </w:rPr>
        <w:tab/>
      </w:r>
      <w:hyperlink r:id="rId10" w:history="1">
        <w:r w:rsidRPr="005C3307">
          <w:rPr>
            <w:rFonts w:ascii="Calibri" w:eastAsia="SimSun" w:hAnsi="Calibri" w:cs="Times New Roman"/>
            <w:kern w:val="2"/>
            <w:szCs w:val="24"/>
            <w:u w:val="single"/>
            <w:lang w:val="en-US" w:eastAsia="zh-CN"/>
          </w:rPr>
          <w:t>https://youtu.be/xiS2tWONdl4.</w:t>
        </w:r>
      </w:hyperlink>
    </w:p>
    <w:p w:rsidR="00356B70" w:rsidRPr="005C3307" w:rsidRDefault="00356B70">
      <w:pPr>
        <w:rPr>
          <w:sz w:val="24"/>
        </w:rPr>
      </w:pPr>
    </w:p>
    <w:sectPr w:rsidR="00356B70" w:rsidRPr="005C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Georg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00F25"/>
    <w:multiLevelType w:val="multilevel"/>
    <w:tmpl w:val="5D400F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5D410623"/>
    <w:multiLevelType w:val="multilevel"/>
    <w:tmpl w:val="5D410623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5D414085"/>
    <w:multiLevelType w:val="singleLevel"/>
    <w:tmpl w:val="5D414085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D415025"/>
    <w:multiLevelType w:val="multilevel"/>
    <w:tmpl w:val="5D41502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5D41506B"/>
    <w:multiLevelType w:val="multilevel"/>
    <w:tmpl w:val="5D41506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07"/>
    <w:rsid w:val="00356B70"/>
    <w:rsid w:val="005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0F8E"/>
  <w15:chartTrackingRefBased/>
  <w15:docId w15:val="{AE3150BF-64E2-4BB4-B664-A87A238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ion.cnn.com/2009/POLITICS/01/30/illinois.governor.quinn/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ition.cnn.com/2009/POLITICS/01/30/illinois.governor.quinn/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nationalgeographic.com/news/2012/07/120717-palmyra-roman-city-syria-science-farming-world-ancient/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ews.nationalgeographic.com/news/2012/07/120717-palmyra-roman-city-syria-science-farming-world-ancient/." TargetMode="External"/><Relationship Id="rId10" Type="http://schemas.openxmlformats.org/officeDocument/2006/relationships/hyperlink" Target="https://youtu.be/xiS2tWONdl4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iS2tWONdl4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2019-08-12T08:13:00Z</dcterms:created>
  <dcterms:modified xsi:type="dcterms:W3CDTF">2019-08-12T08:15:00Z</dcterms:modified>
</cp:coreProperties>
</file>